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256927A2"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065A3D">
        <w:rPr>
          <w:rFonts w:ascii="Arial" w:hAnsi="Arial" w:cs="Arial"/>
          <w:b/>
          <w:noProof/>
          <w:sz w:val="24"/>
          <w:szCs w:val="24"/>
        </w:rPr>
        <w:t>-e</w:t>
      </w:r>
      <w:r w:rsidR="006750D6" w:rsidRPr="004B7E17">
        <w:rPr>
          <w:rFonts w:ascii="Arial" w:hAnsi="Arial" w:cs="Arial"/>
          <w:b/>
          <w:noProof/>
          <w:sz w:val="24"/>
          <w:szCs w:val="24"/>
        </w:rPr>
        <w:tab/>
      </w:r>
      <w:r w:rsidR="00DF1AC6" w:rsidRPr="00DF1AC6">
        <w:rPr>
          <w:rFonts w:ascii="Arial" w:hAnsi="Arial" w:cs="Arial"/>
          <w:b/>
          <w:bCs/>
          <w:color w:val="808080"/>
          <w:sz w:val="26"/>
          <w:szCs w:val="26"/>
        </w:rPr>
        <w:t>R4-2002057</w:t>
      </w:r>
      <w:bookmarkStart w:id="1" w:name="_GoBack"/>
      <w:bookmarkEnd w:id="1"/>
    </w:p>
    <w:p w14:paraId="4DE11AF6" w14:textId="77777777" w:rsidR="004D7421" w:rsidRDefault="004D7421" w:rsidP="004D7421">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5BFD2FF7"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065A3D">
        <w:rPr>
          <w:rFonts w:ascii="Arial" w:hAnsi="Arial"/>
          <w:b/>
          <w:bCs/>
          <w:sz w:val="24"/>
        </w:rPr>
        <w:t>Discussion on inter-frequency measurements without gaps</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5A7F1B61"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4D7421" w:rsidRPr="004D7421">
        <w:rPr>
          <w:rFonts w:ascii="Arial" w:hAnsi="Arial"/>
          <w:b/>
          <w:sz w:val="24"/>
        </w:rPr>
        <w:t>8.15.1.5</w:t>
      </w:r>
      <w:r w:rsidR="004D7421">
        <w:rPr>
          <w:rFonts w:ascii="Arial" w:hAnsi="Arial"/>
          <w:b/>
          <w:sz w:val="24"/>
        </w:rPr>
        <w:t xml:space="preserve"> </w:t>
      </w:r>
      <w:r w:rsidR="004D7421" w:rsidRPr="004D7421">
        <w:rPr>
          <w:rFonts w:ascii="Arial" w:hAnsi="Arial"/>
          <w:b/>
          <w:sz w:val="24"/>
        </w:rPr>
        <w:tab/>
        <w:t>Inter-frequency measurement requirement without MG</w:t>
      </w:r>
      <w:r w:rsidR="004D7421" w:rsidRPr="004D7421">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9722EE"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267F199B" w14:textId="4B58D7A9" w:rsidR="00065A3D" w:rsidRDefault="00065A3D" w:rsidP="003243CD">
      <w:r>
        <w:t>In RAN4#93, a WF [1] was agreed on the topic of inter-frequency measurement without gaps. The open items as listed in the WF are</w:t>
      </w:r>
    </w:p>
    <w:p w14:paraId="2A5638E0" w14:textId="1FFA025B" w:rsidR="00065A3D" w:rsidRDefault="00065A3D" w:rsidP="00065A3D">
      <w:pPr>
        <w:pStyle w:val="ListParagraph"/>
        <w:numPr>
          <w:ilvl w:val="0"/>
          <w:numId w:val="10"/>
        </w:numPr>
      </w:pPr>
      <w:r>
        <w:t>UE requirements on when configured MG is partially overlapped with inter-frequency SMTC</w:t>
      </w:r>
    </w:p>
    <w:p w14:paraId="55392E5B" w14:textId="1DEEACD3" w:rsidR="00065A3D" w:rsidRDefault="00065A3D" w:rsidP="00065A3D">
      <w:pPr>
        <w:pStyle w:val="ListParagraph"/>
        <w:numPr>
          <w:ilvl w:val="1"/>
          <w:numId w:val="10"/>
        </w:numPr>
      </w:pPr>
      <w:r>
        <w:t>Option 1: Define requirements based on assumption that UE does measurements outside gaps</w:t>
      </w:r>
    </w:p>
    <w:p w14:paraId="478D8062" w14:textId="6868EF78" w:rsidR="00065A3D" w:rsidRDefault="00065A3D" w:rsidP="00065A3D">
      <w:pPr>
        <w:pStyle w:val="ListParagraph"/>
        <w:numPr>
          <w:ilvl w:val="1"/>
          <w:numId w:val="10"/>
        </w:numPr>
      </w:pPr>
      <w:r>
        <w:t>Option 2: Define requirements based on assumption that UE does measurements within gaps</w:t>
      </w:r>
    </w:p>
    <w:p w14:paraId="1CB7C01D" w14:textId="0DB85B96" w:rsidR="00065A3D" w:rsidRDefault="00065A3D" w:rsidP="00065A3D">
      <w:pPr>
        <w:pStyle w:val="ListParagraph"/>
        <w:numPr>
          <w:ilvl w:val="0"/>
          <w:numId w:val="10"/>
        </w:numPr>
      </w:pPr>
      <w:r>
        <w:t xml:space="preserve">UE assumes synchronization between partially and fully overlapping TDD carriers. </w:t>
      </w:r>
    </w:p>
    <w:p w14:paraId="749E3F4A" w14:textId="3FD6575C" w:rsidR="00065A3D" w:rsidRDefault="00065A3D" w:rsidP="00065A3D">
      <w:pPr>
        <w:pStyle w:val="ListParagraph"/>
        <w:numPr>
          <w:ilvl w:val="1"/>
          <w:numId w:val="10"/>
        </w:numPr>
      </w:pPr>
      <w:r>
        <w:t xml:space="preserve">FFS on how UE can be made aware of the sync condition. </w:t>
      </w:r>
    </w:p>
    <w:p w14:paraId="426ED543" w14:textId="0883CA89" w:rsidR="006750D6" w:rsidRPr="00625279" w:rsidRDefault="006750D6" w:rsidP="006750D6">
      <w:pPr>
        <w:pStyle w:val="Heading1"/>
      </w:pPr>
      <w:r>
        <w:t xml:space="preserve">Discussion   </w:t>
      </w:r>
    </w:p>
    <w:p w14:paraId="2C873884" w14:textId="75DA93B5" w:rsidR="00065A3D" w:rsidRDefault="00A409F1" w:rsidP="002058CB">
      <w:pPr>
        <w:rPr>
          <w:bCs/>
        </w:rPr>
      </w:pPr>
      <w:r>
        <w:rPr>
          <w:bCs/>
        </w:rPr>
        <w:t xml:space="preserve">RAN4 assumption while defining measurement requirements has been that the UE has two searchers. This requirement is valid for UE’s that support CA. However, for a UE that does not support CA, the two searcher requirement does not hold. </w:t>
      </w:r>
    </w:p>
    <w:p w14:paraId="5D617CEA" w14:textId="60970E7E" w:rsidR="00A409F1" w:rsidRDefault="00A409F1" w:rsidP="002058CB">
      <w:pPr>
        <w:rPr>
          <w:bCs/>
        </w:rPr>
      </w:pPr>
      <w:r w:rsidRPr="007A39CA">
        <w:rPr>
          <w:b/>
        </w:rPr>
        <w:t>Observation 1</w:t>
      </w:r>
      <w:r>
        <w:rPr>
          <w:bCs/>
        </w:rPr>
        <w:t xml:space="preserve">: A UE that does not support CA will have only one searcher. </w:t>
      </w:r>
    </w:p>
    <w:p w14:paraId="1E13F43B" w14:textId="4796974E" w:rsidR="00A409F1" w:rsidRDefault="00A409F1" w:rsidP="002058CB">
      <w:pPr>
        <w:rPr>
          <w:bCs/>
        </w:rPr>
      </w:pPr>
      <w:r w:rsidRPr="007A39CA">
        <w:rPr>
          <w:b/>
        </w:rPr>
        <w:t xml:space="preserve">Proposal </w:t>
      </w:r>
      <w:r w:rsidR="007A39CA" w:rsidRPr="007A39CA">
        <w:rPr>
          <w:b/>
        </w:rPr>
        <w:t>1</w:t>
      </w:r>
      <w:r>
        <w:rPr>
          <w:bCs/>
        </w:rPr>
        <w:t xml:space="preserve">: </w:t>
      </w:r>
      <w:r w:rsidR="007A39CA">
        <w:rPr>
          <w:bCs/>
        </w:rPr>
        <w:t xml:space="preserve">For UE that does not support CA, inter-frequency measurements should always happen in gaps. </w:t>
      </w:r>
    </w:p>
    <w:p w14:paraId="5E9747A0" w14:textId="651B5E2E" w:rsidR="00065A3D" w:rsidRDefault="00A409F1" w:rsidP="002058CB">
      <w:pPr>
        <w:rPr>
          <w:bCs/>
        </w:rPr>
      </w:pPr>
      <w:r>
        <w:rPr>
          <w:bCs/>
        </w:rPr>
        <w:t xml:space="preserve">For deciding between option 1 and 2 for the case where MG is overlapped with inter-frequency SMTC, we have two concerns with going with option 1. The first one, as we mentioned in our previous contribution, is that mandating the UE to do measurements outside of gaps de-prioritizes the SCell measurements which are also utilized by the network for mobility. Secondly, for a UE that is configured in a single carrier mode, option 1 has an impact on power consumption. When configured in single carrier mode, a UE would want to save power by utilizing only one searcher and keeping the other one powered off. This can be done via doing only intra-frequency measurements outside of gaps and all inter-frequency measurements </w:t>
      </w:r>
      <w:r w:rsidR="007A39CA">
        <w:rPr>
          <w:bCs/>
        </w:rPr>
        <w:t xml:space="preserve">should take place in gaps. </w:t>
      </w:r>
    </w:p>
    <w:p w14:paraId="7EE70186" w14:textId="028FB344" w:rsidR="00A409F1" w:rsidRDefault="007A39CA" w:rsidP="002058CB">
      <w:pPr>
        <w:rPr>
          <w:bCs/>
        </w:rPr>
      </w:pPr>
      <w:r w:rsidRPr="007A39CA">
        <w:rPr>
          <w:b/>
        </w:rPr>
        <w:lastRenderedPageBreak/>
        <w:t>Proposal 2</w:t>
      </w:r>
      <w:r>
        <w:rPr>
          <w:bCs/>
        </w:rPr>
        <w:t xml:space="preserve">: For inter-frequency SMTC’s that partially overlap with gaps, rel-15 requirements for measurements within gaps apply. </w:t>
      </w:r>
    </w:p>
    <w:p w14:paraId="4E479143" w14:textId="7396EC6E" w:rsidR="00A409F1" w:rsidRDefault="00D50235" w:rsidP="002058CB">
      <w:pPr>
        <w:rPr>
          <w:i/>
          <w:iCs/>
        </w:rPr>
      </w:pPr>
      <w:r>
        <w:rPr>
          <w:bCs/>
        </w:rPr>
        <w:t xml:space="preserve">For the indication to UE about neighbor cells being synchronized, we propose to re-use the </w:t>
      </w:r>
      <w:r w:rsidRPr="00DD3199">
        <w:rPr>
          <w:i/>
          <w:iCs/>
        </w:rPr>
        <w:t>deriveSSB-IndexFromCell</w:t>
      </w:r>
      <w:r>
        <w:rPr>
          <w:i/>
          <w:iCs/>
        </w:rPr>
        <w:t xml:space="preserve">. </w:t>
      </w:r>
      <w:r w:rsidRPr="00D50235">
        <w:t xml:space="preserve">This flag when enabled is used in intra-frequency search to indicate to the UE that intra-frequency neighbor cell is </w:t>
      </w:r>
      <w:r w:rsidR="003B2A57" w:rsidRPr="00D50235">
        <w:t>synchronous</w:t>
      </w:r>
      <w:r w:rsidRPr="00D50235">
        <w:t xml:space="preserve"> with serving cell. For inter-frequency neighbor cells that partially or fully overlap with the serving cell, the UE can assume that the same flag tells the UE that the inter-frequency neighbor cells are synchronous with serving cell.</w:t>
      </w:r>
      <w:r>
        <w:rPr>
          <w:i/>
          <w:iCs/>
        </w:rPr>
        <w:t xml:space="preserve"> </w:t>
      </w:r>
    </w:p>
    <w:p w14:paraId="2E2EE9CC" w14:textId="59BCFEEE" w:rsidR="00D50235" w:rsidRPr="003B2A57" w:rsidRDefault="00D50235" w:rsidP="002058CB">
      <w:pPr>
        <w:rPr>
          <w:bCs/>
        </w:rPr>
      </w:pPr>
      <w:r w:rsidRPr="003B2A57">
        <w:rPr>
          <w:b/>
          <w:bCs/>
        </w:rPr>
        <w:t>Proposal 3</w:t>
      </w:r>
      <w:r w:rsidRPr="003B2A57">
        <w:t>: For inter-frequency cells that partially or fully overlap with serving cell, deriveSSB-IndexFromCell flag to indicate that those cells are synchronous with serving cell.</w:t>
      </w:r>
    </w:p>
    <w:p w14:paraId="55F2C6EE" w14:textId="77777777" w:rsidR="00A409F1" w:rsidRDefault="00A409F1" w:rsidP="002058CB">
      <w:pPr>
        <w:rPr>
          <w:bCs/>
        </w:rPr>
      </w:pPr>
    </w:p>
    <w:p w14:paraId="4BDBD680" w14:textId="6ED4B16F" w:rsidR="00432B37" w:rsidRDefault="00432B37" w:rsidP="00330D12">
      <w:pPr>
        <w:pStyle w:val="Heading1"/>
      </w:pPr>
      <w:r>
        <w:t xml:space="preserve">Conclusions </w:t>
      </w:r>
    </w:p>
    <w:p w14:paraId="1ECDEA03" w14:textId="77777777" w:rsidR="003B2A57" w:rsidRDefault="003B2A57" w:rsidP="003B2A57">
      <w:pPr>
        <w:rPr>
          <w:bCs/>
        </w:rPr>
      </w:pPr>
      <w:r w:rsidRPr="007A39CA">
        <w:rPr>
          <w:b/>
        </w:rPr>
        <w:t>Observation 1</w:t>
      </w:r>
      <w:r>
        <w:rPr>
          <w:bCs/>
        </w:rPr>
        <w:t xml:space="preserve">: A UE that does not support CA will have only one searcher. </w:t>
      </w:r>
    </w:p>
    <w:p w14:paraId="5C972EEF" w14:textId="58069C6D" w:rsidR="003B2A57" w:rsidRDefault="003B2A57" w:rsidP="003B2A57">
      <w:pPr>
        <w:rPr>
          <w:bCs/>
        </w:rPr>
      </w:pPr>
      <w:r w:rsidRPr="007A39CA">
        <w:rPr>
          <w:b/>
        </w:rPr>
        <w:t>Proposal 1</w:t>
      </w:r>
      <w:r>
        <w:rPr>
          <w:bCs/>
        </w:rPr>
        <w:t xml:space="preserve">: For UE that does not support CA, inter-frequency measurements should always happen in gaps. </w:t>
      </w:r>
    </w:p>
    <w:p w14:paraId="2F164671" w14:textId="77777777" w:rsidR="003B2A57" w:rsidRDefault="003B2A57" w:rsidP="003B2A57">
      <w:pPr>
        <w:rPr>
          <w:bCs/>
        </w:rPr>
      </w:pPr>
      <w:r w:rsidRPr="007A39CA">
        <w:rPr>
          <w:b/>
        </w:rPr>
        <w:t>Proposal 2</w:t>
      </w:r>
      <w:r>
        <w:rPr>
          <w:bCs/>
        </w:rPr>
        <w:t xml:space="preserve">: For inter-frequency SMTC’s that partially overlap with gaps, rel-15 requirements for measurements within gaps apply. </w:t>
      </w:r>
    </w:p>
    <w:p w14:paraId="04C49B8A" w14:textId="77777777" w:rsidR="003B2A57" w:rsidRPr="003B2A57" w:rsidRDefault="003B2A57" w:rsidP="003B2A57">
      <w:pPr>
        <w:rPr>
          <w:bCs/>
        </w:rPr>
      </w:pPr>
      <w:r w:rsidRPr="003B2A57">
        <w:rPr>
          <w:b/>
          <w:bCs/>
        </w:rPr>
        <w:t>Proposal 3</w:t>
      </w:r>
      <w:r w:rsidRPr="003B2A57">
        <w:t>: For inter-frequency cells that partially or fully overlap with serving cell, deriveSSB-IndexFromCell flag to indicate that those cells are synchronous with serving cell.</w:t>
      </w:r>
    </w:p>
    <w:p w14:paraId="10ABEFAC" w14:textId="77777777" w:rsidR="003B2A57" w:rsidRDefault="003B2A57" w:rsidP="003B2A57">
      <w:pPr>
        <w:rPr>
          <w:bCs/>
        </w:rPr>
      </w:pPr>
    </w:p>
    <w:p w14:paraId="5A21FB30" w14:textId="4E28536D" w:rsidR="00AD7CCD" w:rsidRDefault="00670B43" w:rsidP="00670B43">
      <w:pPr>
        <w:pStyle w:val="Heading1"/>
      </w:pPr>
      <w:r>
        <w:t>References</w:t>
      </w:r>
    </w:p>
    <w:p w14:paraId="7C155C6D" w14:textId="7001FABF" w:rsidR="00670B43" w:rsidRPr="00753C29" w:rsidRDefault="00670B43" w:rsidP="00670B43">
      <w:r w:rsidRPr="00753C29">
        <w:t xml:space="preserve">[1] </w:t>
      </w:r>
      <w:r w:rsidR="004D7421" w:rsidRPr="004D7421">
        <w:t>R4-1915853</w:t>
      </w:r>
      <w:r w:rsidR="00753C29">
        <w:t>,</w:t>
      </w:r>
      <w:r w:rsidR="00753C29" w:rsidRPr="00753C29">
        <w:t xml:space="preserve"> </w:t>
      </w:r>
      <w:r w:rsidR="004D7421" w:rsidRPr="004D7421">
        <w:t>WF on inter-frequency without MG</w:t>
      </w:r>
      <w:r w:rsidR="00753C29">
        <w:t>.</w:t>
      </w:r>
    </w:p>
    <w:sectPr w:rsidR="00670B43"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71FE8" w14:textId="77777777" w:rsidR="009722EE" w:rsidRDefault="009722EE" w:rsidP="007D7454">
      <w:pPr>
        <w:spacing w:after="0" w:line="240" w:lineRule="auto"/>
      </w:pPr>
      <w:r>
        <w:separator/>
      </w:r>
    </w:p>
  </w:endnote>
  <w:endnote w:type="continuationSeparator" w:id="0">
    <w:p w14:paraId="203C4297" w14:textId="77777777" w:rsidR="009722EE" w:rsidRDefault="009722EE"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7163A" w14:textId="77777777" w:rsidR="009722EE" w:rsidRDefault="009722EE" w:rsidP="007D7454">
      <w:pPr>
        <w:spacing w:after="0" w:line="240" w:lineRule="auto"/>
      </w:pPr>
      <w:r>
        <w:separator/>
      </w:r>
    </w:p>
  </w:footnote>
  <w:footnote w:type="continuationSeparator" w:id="0">
    <w:p w14:paraId="270418E2" w14:textId="77777777" w:rsidR="009722EE" w:rsidRDefault="009722EE"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88472C"/>
    <w:multiLevelType w:val="hybridMultilevel"/>
    <w:tmpl w:val="0832CA2A"/>
    <w:lvl w:ilvl="0" w:tplc="73700368">
      <w:start w:val="95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9"/>
  </w:num>
  <w:num w:numId="4">
    <w:abstractNumId w:val="0"/>
  </w:num>
  <w:num w:numId="5">
    <w:abstractNumId w:val="3"/>
  </w:num>
  <w:num w:numId="6">
    <w:abstractNumId w:val="1"/>
  </w:num>
  <w:num w:numId="7">
    <w:abstractNumId w:val="6"/>
  </w:num>
  <w:num w:numId="8">
    <w:abstractNumId w:val="5"/>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65A3D"/>
    <w:rsid w:val="000776E5"/>
    <w:rsid w:val="00082D50"/>
    <w:rsid w:val="00105578"/>
    <w:rsid w:val="001106EF"/>
    <w:rsid w:val="0018076B"/>
    <w:rsid w:val="0019675C"/>
    <w:rsid w:val="001A3B73"/>
    <w:rsid w:val="001A3EEE"/>
    <w:rsid w:val="001D4142"/>
    <w:rsid w:val="002058CB"/>
    <w:rsid w:val="00205C82"/>
    <w:rsid w:val="00216926"/>
    <w:rsid w:val="00233796"/>
    <w:rsid w:val="00281899"/>
    <w:rsid w:val="002E5195"/>
    <w:rsid w:val="002F00BB"/>
    <w:rsid w:val="003014F5"/>
    <w:rsid w:val="0030381D"/>
    <w:rsid w:val="003243CD"/>
    <w:rsid w:val="00330D12"/>
    <w:rsid w:val="00355170"/>
    <w:rsid w:val="003669ED"/>
    <w:rsid w:val="003B2A57"/>
    <w:rsid w:val="003E6A62"/>
    <w:rsid w:val="00403E25"/>
    <w:rsid w:val="004153D3"/>
    <w:rsid w:val="004222C5"/>
    <w:rsid w:val="00432B37"/>
    <w:rsid w:val="00475BBB"/>
    <w:rsid w:val="004918AC"/>
    <w:rsid w:val="004B2231"/>
    <w:rsid w:val="004B39FE"/>
    <w:rsid w:val="004D0C87"/>
    <w:rsid w:val="004D7421"/>
    <w:rsid w:val="004E5225"/>
    <w:rsid w:val="00512119"/>
    <w:rsid w:val="005D651A"/>
    <w:rsid w:val="005F2189"/>
    <w:rsid w:val="00616983"/>
    <w:rsid w:val="00665F19"/>
    <w:rsid w:val="00670B43"/>
    <w:rsid w:val="00671630"/>
    <w:rsid w:val="006750D6"/>
    <w:rsid w:val="00696462"/>
    <w:rsid w:val="00736DB1"/>
    <w:rsid w:val="007507FC"/>
    <w:rsid w:val="00753C29"/>
    <w:rsid w:val="0075422D"/>
    <w:rsid w:val="007A39CA"/>
    <w:rsid w:val="007D7454"/>
    <w:rsid w:val="00813799"/>
    <w:rsid w:val="0084336F"/>
    <w:rsid w:val="008E313D"/>
    <w:rsid w:val="00943B69"/>
    <w:rsid w:val="0096639B"/>
    <w:rsid w:val="009722EE"/>
    <w:rsid w:val="009821C6"/>
    <w:rsid w:val="009D2779"/>
    <w:rsid w:val="009F2370"/>
    <w:rsid w:val="009F6867"/>
    <w:rsid w:val="00A409F1"/>
    <w:rsid w:val="00A51B65"/>
    <w:rsid w:val="00A61604"/>
    <w:rsid w:val="00A71475"/>
    <w:rsid w:val="00A71934"/>
    <w:rsid w:val="00AA7CC7"/>
    <w:rsid w:val="00AC0688"/>
    <w:rsid w:val="00AD7CCD"/>
    <w:rsid w:val="00AE79C1"/>
    <w:rsid w:val="00AF03DC"/>
    <w:rsid w:val="00AF61A8"/>
    <w:rsid w:val="00B01AD7"/>
    <w:rsid w:val="00BC2B29"/>
    <w:rsid w:val="00BD5FFC"/>
    <w:rsid w:val="00C07825"/>
    <w:rsid w:val="00C12BD8"/>
    <w:rsid w:val="00CA61B1"/>
    <w:rsid w:val="00CC3F86"/>
    <w:rsid w:val="00D141CC"/>
    <w:rsid w:val="00D17969"/>
    <w:rsid w:val="00D34C41"/>
    <w:rsid w:val="00D50235"/>
    <w:rsid w:val="00D84269"/>
    <w:rsid w:val="00D93F66"/>
    <w:rsid w:val="00DE10CA"/>
    <w:rsid w:val="00DE5149"/>
    <w:rsid w:val="00DF1AC6"/>
    <w:rsid w:val="00E80553"/>
    <w:rsid w:val="00E833B6"/>
    <w:rsid w:val="00EC65B6"/>
    <w:rsid w:val="00ED2293"/>
    <w:rsid w:val="00EF7F9C"/>
    <w:rsid w:val="00F02F7E"/>
    <w:rsid w:val="00F5668D"/>
    <w:rsid w:val="00F61425"/>
    <w:rsid w:val="00F74CA6"/>
    <w:rsid w:val="00F74D8B"/>
    <w:rsid w:val="00FB0B41"/>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5453BA-CEE7-4454-83A8-84CB47946B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15</cp:revision>
  <dcterms:created xsi:type="dcterms:W3CDTF">2019-11-07T07:25:00Z</dcterms:created>
  <dcterms:modified xsi:type="dcterms:W3CDTF">2020-02-14T19:27:00Z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